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/>
        <w:t xml:space="preserve">Scheda di sintesi sulla rilevazione degli OIV o </w:t>
      </w:r>
      <w:r>
        <w:rPr>
          <w:rFonts w:ascii="Titillium" w:hAnsi="Titillium"/>
          <w:sz w:val="20"/>
          <w:szCs w:val="20"/>
        </w:rPr>
        <w:t>organismi con funzioni analoghe</w:t>
      </w:r>
    </w:p>
    <w:p>
      <w:pPr>
        <w:pStyle w:val="Normal"/>
        <w:spacing w:lineRule="auto" w:line="276" w:before="240" w:after="240"/>
        <w:ind w:left="0" w:hanging="0"/>
        <w:jc w:val="right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 xml:space="preserve"> </w:t>
      </w:r>
      <w:r>
        <w:rPr>
          <w:rFonts w:cs="Times New Roman" w:ascii="Titillium" w:hAnsi="Titillium"/>
          <w:b/>
          <w:bCs/>
          <w:sz w:val="20"/>
          <w:szCs w:val="20"/>
        </w:rPr>
        <w:t>prot. n.52121/2021</w:t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>
      <w:pPr>
        <w:pStyle w:val="ListParagraph"/>
        <w:spacing w:lineRule="auto" w:line="276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si è svolta nelle sedute del 27/05/2021, 04/06/2021 e si è conclusa il 09/06/2021.</w:t>
      </w:r>
    </w:p>
    <w:p>
      <w:pPr>
        <w:pStyle w:val="ListParagraph"/>
        <w:spacing w:lineRule="auto" w:line="276" w:before="0" w:after="0"/>
        <w:ind w:left="72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L'Organismo Indipendente di Valutazione ha operato le verifiche di cui ai punti A) e B), dell’allegato documento di attestazione  mediante accesso diretto al sito del Comune di Andria.</w:t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procedimento e le modalità seguite per condurre la rilevazione sono state:</w:t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</w:t>
        <w:tab/>
        <w:t>verifica dell’attività svolta dal Responsabile della prevenzione della corruzione e della trasparenza per riscontrare l’adempimento degli obblighi di pubblicazione;</w:t>
      </w:r>
    </w:p>
    <w:p>
      <w:pPr>
        <w:pStyle w:val="ListParagraph"/>
        <w:spacing w:lineRule="auto" w:line="360" w:before="0" w:after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</w:t>
        <w:tab/>
        <w:t>esame della documentazione e delle banche dati relative ai dati oggetto di attestazione;</w:t>
      </w:r>
    </w:p>
    <w:p>
      <w:pPr>
        <w:pStyle w:val="Default"/>
        <w:tabs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 colloqui con i responsabili della pubblicazione dei dati;</w:t>
      </w:r>
    </w:p>
    <w:p>
      <w:pPr>
        <w:pStyle w:val="Default"/>
        <w:tabs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- verifica diretta sul sito istituzionale, anche attraverso l’utilizzo di supporti informatici.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state ravvisate particolari criticità tali da essere oggetto di rilevazione.</w:t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Allegato.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Andria, lì 9 giugno 2021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>L’O.I.V.</w:t>
      </w:r>
    </w:p>
    <w:p>
      <w:pPr>
        <w:pStyle w:val="Normal"/>
        <w:spacing w:lineRule="auto" w:line="360" w:before="0" w:after="120"/>
        <w:rPr/>
      </w:pPr>
      <w:r>
        <w:rPr>
          <w:rFonts w:ascii="Titillium" w:hAnsi="Titillium"/>
          <w:b/>
          <w:sz w:val="20"/>
          <w:szCs w:val="20"/>
        </w:rPr>
        <w:tab/>
        <w:tab/>
        <w:tab/>
        <w:tab/>
        <w:tab/>
        <w:tab/>
        <w:tab/>
        <w:tab/>
        <w:t xml:space="preserve">             </w:t>
      </w:r>
      <w:r>
        <w:rPr>
          <w:rFonts w:ascii="Titillium" w:hAnsi="Titillium"/>
          <w:b/>
          <w:sz w:val="20"/>
          <w:szCs w:val="20"/>
        </w:rPr>
        <w:t>f.to</w:t>
      </w:r>
      <w:r>
        <w:rPr>
          <w:rFonts w:ascii="Titillium" w:hAnsi="Titillium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tillium" w:hAnsi="Titillium"/>
          <w:b/>
          <w:sz w:val="20"/>
          <w:szCs w:val="20"/>
        </w:rPr>
        <w:t>prof. Bruno Carapella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  <w:drawing>
        <wp:anchor behindDoc="1" distT="0" distB="1270" distL="114300" distR="114300" simplePos="0" locked="0" layoutInCell="1" allowOverlap="1" relativeHeight="2">
          <wp:simplePos x="0" y="0"/>
          <wp:positionH relativeFrom="margin">
            <wp:posOffset>-271780</wp:posOffset>
          </wp:positionH>
          <wp:positionV relativeFrom="paragraph">
            <wp:posOffset>453390</wp:posOffset>
          </wp:positionV>
          <wp:extent cx="2879725" cy="341630"/>
          <wp:effectExtent l="0" t="0" r="0" b="0"/>
          <wp:wrapSquare wrapText="bothSides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Allegato 3 alla </w:t>
    </w:r>
    <w:r>
      <w:rPr>
        <w:rFonts w:cs="Times New Roman" w:ascii="Titillium" w:hAnsi="Titillium"/>
        <w:b/>
        <w:sz w:val="20"/>
        <w:szCs w:val="20"/>
      </w:rPr>
      <w:t>delibera ANAC n. 294/2021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179</Words>
  <Characters>1079</Characters>
  <CharactersWithSpaces>1278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2021-05-06T17:24:00Z</dcterms:created>
  <dc:creator>i.siciliani</dc:creator>
  <dc:description/>
  <dc:language>it-IT</dc:language>
  <cp:lastModifiedBy/>
  <cp:lastPrinted>2018-02-28T15:30:00Z</cp:lastPrinted>
  <dcterms:modified xsi:type="dcterms:W3CDTF">2021-06-16T12:17:20Z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